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0A48BB" w:rsidP="000A4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4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 xml:space="preserve">głos i dokonując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A0" w:rsidRDefault="002377A0" w:rsidP="000B228B">
      <w:pPr>
        <w:spacing w:after="0" w:line="240" w:lineRule="auto"/>
      </w:pPr>
      <w:r>
        <w:separator/>
      </w:r>
    </w:p>
  </w:endnote>
  <w:endnote w:type="continuationSeparator" w:id="0">
    <w:p w:rsidR="002377A0" w:rsidRDefault="002377A0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A0" w:rsidRDefault="002377A0" w:rsidP="000B228B">
      <w:pPr>
        <w:spacing w:after="0" w:line="240" w:lineRule="auto"/>
      </w:pPr>
      <w:r>
        <w:separator/>
      </w:r>
    </w:p>
  </w:footnote>
  <w:footnote w:type="continuationSeparator" w:id="0">
    <w:p w:rsidR="002377A0" w:rsidRDefault="002377A0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48BB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A0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A30CF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12698</Words>
  <Characters>76194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Ola</cp:lastModifiedBy>
  <cp:revision>107</cp:revision>
  <dcterms:created xsi:type="dcterms:W3CDTF">2017-07-23T10:40:00Z</dcterms:created>
  <dcterms:modified xsi:type="dcterms:W3CDTF">2023-12-15T11:02:00Z</dcterms:modified>
</cp:coreProperties>
</file>