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1" w:rsidRDefault="00FC3171" w:rsidP="00FC3171">
      <w:pPr>
        <w:jc w:val="center"/>
        <w:rPr>
          <w:rFonts w:ascii="Times New Roman" w:eastAsiaTheme="minorHAnsi" w:hAnsi="Times New Roman"/>
          <w:sz w:val="44"/>
        </w:rPr>
      </w:pPr>
      <w:r>
        <w:rPr>
          <w:rFonts w:ascii="Times New Roman" w:hAnsi="Times New Roman"/>
          <w:sz w:val="44"/>
        </w:rPr>
        <w:t>WYMAGANIA EDUKACYJNE NA POSZCZEGÓLNE OCENY</w:t>
      </w:r>
    </w:p>
    <w:p w:rsidR="00FC3171" w:rsidRDefault="00FC3171" w:rsidP="00FC3171">
      <w:pPr>
        <w:jc w:val="center"/>
        <w:rPr>
          <w:rFonts w:ascii="Times New Roman" w:eastAsia="Century Gothic" w:hAnsi="Times New Roman"/>
          <w:sz w:val="44"/>
        </w:rPr>
      </w:pPr>
      <w:r>
        <w:rPr>
          <w:rFonts w:ascii="Times New Roman" w:hAnsi="Times New Roman"/>
          <w:sz w:val="44"/>
        </w:rPr>
        <w:t>ŚRÓDROCZNE I ROCZNE</w:t>
      </w: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z </w:t>
      </w:r>
      <w:proofErr w:type="spellStart"/>
      <w:r>
        <w:rPr>
          <w:rFonts w:ascii="Times New Roman" w:hAnsi="Times New Roman"/>
          <w:sz w:val="44"/>
        </w:rPr>
        <w:t>fizyki</w:t>
      </w:r>
      <w:proofErr w:type="spellEnd"/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w 8 </w:t>
      </w:r>
      <w:proofErr w:type="spellStart"/>
      <w:r>
        <w:rPr>
          <w:rFonts w:ascii="Times New Roman" w:hAnsi="Times New Roman"/>
          <w:sz w:val="44"/>
        </w:rPr>
        <w:t>klasie</w:t>
      </w:r>
      <w:proofErr w:type="spellEnd"/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proofErr w:type="spellStart"/>
      <w:r>
        <w:rPr>
          <w:rFonts w:ascii="Times New Roman" w:hAnsi="Times New Roman"/>
          <w:sz w:val="44"/>
        </w:rPr>
        <w:t>Szkoły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Podstawowej</w:t>
      </w:r>
      <w:proofErr w:type="spellEnd"/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proofErr w:type="spellStart"/>
      <w:r>
        <w:rPr>
          <w:rFonts w:ascii="Times New Roman" w:hAnsi="Times New Roman"/>
          <w:sz w:val="44"/>
        </w:rPr>
        <w:t>im</w:t>
      </w:r>
      <w:proofErr w:type="spellEnd"/>
      <w:r>
        <w:rPr>
          <w:rFonts w:ascii="Times New Roman" w:hAnsi="Times New Roman"/>
          <w:sz w:val="44"/>
        </w:rPr>
        <w:t xml:space="preserve">. </w:t>
      </w:r>
      <w:proofErr w:type="spellStart"/>
      <w:r>
        <w:rPr>
          <w:rFonts w:ascii="Times New Roman" w:hAnsi="Times New Roman"/>
          <w:sz w:val="44"/>
        </w:rPr>
        <w:t>Fryderyka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Chopina</w:t>
      </w:r>
      <w:proofErr w:type="spellEnd"/>
      <w:r>
        <w:rPr>
          <w:rFonts w:ascii="Times New Roman" w:hAnsi="Times New Roman"/>
          <w:sz w:val="44"/>
        </w:rPr>
        <w:t xml:space="preserve">  w </w:t>
      </w:r>
      <w:proofErr w:type="spellStart"/>
      <w:r>
        <w:rPr>
          <w:rFonts w:ascii="Times New Roman" w:hAnsi="Times New Roman"/>
          <w:sz w:val="44"/>
        </w:rPr>
        <w:t>Budkach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Piaseckich</w:t>
      </w:r>
      <w:proofErr w:type="spellEnd"/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Program </w:t>
      </w:r>
      <w:proofErr w:type="spellStart"/>
      <w:r>
        <w:rPr>
          <w:rFonts w:ascii="Times New Roman" w:hAnsi="Times New Roman"/>
          <w:sz w:val="44"/>
        </w:rPr>
        <w:t>nauczania</w:t>
      </w:r>
      <w:proofErr w:type="spellEnd"/>
      <w:r>
        <w:rPr>
          <w:rFonts w:ascii="Times New Roman" w:hAnsi="Times New Roman"/>
          <w:sz w:val="44"/>
        </w:rPr>
        <w:t xml:space="preserve"> –„</w:t>
      </w:r>
      <w:proofErr w:type="spellStart"/>
      <w:r>
        <w:rPr>
          <w:rFonts w:ascii="Times New Roman" w:hAnsi="Times New Roman"/>
          <w:sz w:val="44"/>
        </w:rPr>
        <w:t>Spotkanie</w:t>
      </w:r>
      <w:proofErr w:type="spellEnd"/>
      <w:r>
        <w:rPr>
          <w:rFonts w:ascii="Times New Roman" w:hAnsi="Times New Roman"/>
          <w:sz w:val="44"/>
        </w:rPr>
        <w:t xml:space="preserve"> z </w:t>
      </w:r>
      <w:proofErr w:type="spellStart"/>
      <w:r>
        <w:rPr>
          <w:rFonts w:ascii="Times New Roman" w:hAnsi="Times New Roman"/>
          <w:sz w:val="44"/>
        </w:rPr>
        <w:t>fizyką</w:t>
      </w:r>
      <w:proofErr w:type="spellEnd"/>
      <w:r>
        <w:rPr>
          <w:rFonts w:ascii="Times New Roman" w:hAnsi="Times New Roman"/>
          <w:sz w:val="44"/>
        </w:rPr>
        <w:t>”</w:t>
      </w: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  <w:proofErr w:type="spellStart"/>
      <w:r>
        <w:rPr>
          <w:rFonts w:ascii="Times New Roman" w:hAnsi="Times New Roman"/>
          <w:sz w:val="44"/>
        </w:rPr>
        <w:t>Podręcznik</w:t>
      </w:r>
      <w:proofErr w:type="spellEnd"/>
      <w:r>
        <w:rPr>
          <w:rFonts w:ascii="Times New Roman" w:hAnsi="Times New Roman"/>
          <w:sz w:val="44"/>
        </w:rPr>
        <w:t xml:space="preserve"> –</w:t>
      </w:r>
      <w:proofErr w:type="spellStart"/>
      <w:r>
        <w:rPr>
          <w:rFonts w:ascii="Times New Roman" w:hAnsi="Times New Roman"/>
          <w:sz w:val="44"/>
        </w:rPr>
        <w:t>tytuł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np</w:t>
      </w:r>
      <w:proofErr w:type="spellEnd"/>
      <w:r>
        <w:rPr>
          <w:rFonts w:ascii="Times New Roman" w:hAnsi="Times New Roman"/>
          <w:sz w:val="44"/>
        </w:rPr>
        <w:t>. –„</w:t>
      </w:r>
      <w:proofErr w:type="spellStart"/>
      <w:r>
        <w:rPr>
          <w:rFonts w:ascii="Times New Roman" w:hAnsi="Times New Roman"/>
          <w:sz w:val="44"/>
        </w:rPr>
        <w:t>Spotkanie</w:t>
      </w:r>
      <w:proofErr w:type="spellEnd"/>
      <w:r>
        <w:rPr>
          <w:rFonts w:ascii="Times New Roman" w:hAnsi="Times New Roman"/>
          <w:sz w:val="44"/>
        </w:rPr>
        <w:t xml:space="preserve"> z </w:t>
      </w:r>
      <w:proofErr w:type="spellStart"/>
      <w:r>
        <w:rPr>
          <w:rFonts w:ascii="Times New Roman" w:hAnsi="Times New Roman"/>
          <w:sz w:val="44"/>
        </w:rPr>
        <w:t>fizyką</w:t>
      </w:r>
      <w:proofErr w:type="spellEnd"/>
      <w:r>
        <w:rPr>
          <w:rFonts w:ascii="Times New Roman" w:hAnsi="Times New Roman"/>
          <w:sz w:val="44"/>
        </w:rPr>
        <w:t xml:space="preserve">”  </w:t>
      </w:r>
      <w:proofErr w:type="spellStart"/>
      <w:r>
        <w:rPr>
          <w:rFonts w:ascii="Times New Roman" w:hAnsi="Times New Roman"/>
          <w:sz w:val="44"/>
        </w:rPr>
        <w:t>Nowa</w:t>
      </w:r>
      <w:proofErr w:type="spellEnd"/>
      <w:r>
        <w:rPr>
          <w:rFonts w:ascii="Times New Roman" w:hAnsi="Times New Roman"/>
          <w:sz w:val="44"/>
        </w:rPr>
        <w:t xml:space="preserve"> Era</w:t>
      </w: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FC3171" w:rsidRDefault="00FC3171" w:rsidP="00FC3171">
      <w:pPr>
        <w:jc w:val="center"/>
        <w:rPr>
          <w:rFonts w:ascii="Times New Roman" w:hAnsi="Times New Roman"/>
          <w:sz w:val="44"/>
        </w:rPr>
      </w:pPr>
    </w:p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913A52" w:rsidRDefault="00B92CD6" w:rsidP="00913A52">
      <w:pPr>
        <w:rPr>
          <w:rStyle w:val="ui-provider"/>
          <w:lang w:eastAsia="pl-PL"/>
        </w:rPr>
      </w:pPr>
      <w:r w:rsidRPr="00372F93">
        <w:rPr>
          <w:rFonts w:ascii="Times New Roman" w:hAnsi="Times New Roman"/>
          <w:sz w:val="20"/>
          <w:szCs w:val="20"/>
        </w:rPr>
        <w:t>4.</w:t>
      </w:r>
      <w:r w:rsidR="005E72D7">
        <w:rPr>
          <w:rFonts w:ascii="Times New Roman" w:hAnsi="Times New Roman"/>
          <w:sz w:val="20"/>
          <w:szCs w:val="20"/>
        </w:rPr>
        <w:t xml:space="preserve"> </w:t>
      </w:r>
      <w:r w:rsidR="00913A52" w:rsidRPr="00913A52">
        <w:rPr>
          <w:rStyle w:val="ui-provider"/>
          <w:rFonts w:ascii="Times New Roman" w:hAnsi="Times New Roman"/>
          <w:sz w:val="20"/>
          <w:szCs w:val="20"/>
        </w:rPr>
        <w:t>Ocenę celującą otrzymuje uczeń, który opanował wszystkie treści z podstawy programowej oraz rozwiązuje zadania o wysokim stopniu trudności</w:t>
      </w:r>
      <w:bookmarkStart w:id="0" w:name="_GoBack"/>
      <w:bookmarkEnd w:id="0"/>
      <w:r w:rsidR="00913A52" w:rsidRPr="00913A52">
        <w:rPr>
          <w:rStyle w:val="ui-provider"/>
          <w:rFonts w:ascii="Times New Roman" w:hAnsi="Times New Roman"/>
          <w:sz w:val="20"/>
          <w:szCs w:val="20"/>
        </w:rPr>
        <w:t>.</w:t>
      </w:r>
      <w:r w:rsidR="00913A52">
        <w:rPr>
          <w:rStyle w:val="ui-provider"/>
        </w:rPr>
        <w:t> 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FC3171" w:rsidRDefault="00FC3171" w:rsidP="00FC3171">
      <w:pPr>
        <w:rPr>
          <w:rFonts w:ascii="Times New Roman" w:hAnsi="Times New Roman"/>
          <w:sz w:val="36"/>
          <w:szCs w:val="36"/>
        </w:rPr>
      </w:pPr>
    </w:p>
    <w:p w:rsidR="00FC3171" w:rsidRDefault="00FC3171" w:rsidP="00FC3171">
      <w:pPr>
        <w:rPr>
          <w:rFonts w:ascii="Times New Roman" w:hAnsi="Times New Roman"/>
          <w:sz w:val="36"/>
          <w:szCs w:val="36"/>
        </w:rPr>
      </w:pPr>
    </w:p>
    <w:p w:rsidR="00FC3171" w:rsidRPr="00FC3171" w:rsidRDefault="00FC3171" w:rsidP="00FC3171">
      <w:pPr>
        <w:rPr>
          <w:rFonts w:ascii="Times New Roman" w:hAnsi="Times New Roman"/>
          <w:sz w:val="36"/>
          <w:szCs w:val="36"/>
        </w:rPr>
      </w:pPr>
      <w:proofErr w:type="spellStart"/>
      <w:r w:rsidRPr="00FC3171">
        <w:rPr>
          <w:rFonts w:ascii="Times New Roman" w:hAnsi="Times New Roman"/>
          <w:sz w:val="36"/>
          <w:szCs w:val="36"/>
        </w:rPr>
        <w:t>Wymagania</w:t>
      </w:r>
      <w:proofErr w:type="spellEnd"/>
      <w:r w:rsidRPr="00FC317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C3171">
        <w:rPr>
          <w:rFonts w:ascii="Times New Roman" w:hAnsi="Times New Roman"/>
          <w:sz w:val="36"/>
          <w:szCs w:val="36"/>
        </w:rPr>
        <w:t>edukacyjne</w:t>
      </w:r>
      <w:proofErr w:type="spellEnd"/>
      <w:r w:rsidRPr="00FC317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C3171">
        <w:rPr>
          <w:rFonts w:ascii="Times New Roman" w:hAnsi="Times New Roman"/>
          <w:sz w:val="36"/>
          <w:szCs w:val="36"/>
        </w:rPr>
        <w:t>na</w:t>
      </w:r>
      <w:proofErr w:type="spellEnd"/>
      <w:r w:rsidRPr="00FC317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C3171">
        <w:rPr>
          <w:rFonts w:ascii="Times New Roman" w:hAnsi="Times New Roman"/>
          <w:sz w:val="36"/>
          <w:szCs w:val="36"/>
        </w:rPr>
        <w:t>poszczególne</w:t>
      </w:r>
      <w:proofErr w:type="spellEnd"/>
      <w:r w:rsidRPr="00FC317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C3171">
        <w:rPr>
          <w:rFonts w:ascii="Times New Roman" w:hAnsi="Times New Roman"/>
          <w:sz w:val="36"/>
          <w:szCs w:val="36"/>
        </w:rPr>
        <w:t>oceny</w:t>
      </w:r>
      <w:proofErr w:type="spellEnd"/>
    </w:p>
    <w:p w:rsidR="00FC3171" w:rsidRPr="00FC3171" w:rsidRDefault="00FC3171" w:rsidP="00FC3171">
      <w:pPr>
        <w:rPr>
          <w:rFonts w:ascii="Times New Roman" w:hAnsi="Times New Roman"/>
          <w:sz w:val="36"/>
          <w:szCs w:val="36"/>
        </w:rPr>
      </w:pPr>
      <w:r w:rsidRPr="00FC3171">
        <w:rPr>
          <w:rFonts w:ascii="Times New Roman" w:hAnsi="Times New Roman"/>
          <w:sz w:val="36"/>
          <w:szCs w:val="36"/>
        </w:rPr>
        <w:t xml:space="preserve">program </w:t>
      </w:r>
      <w:proofErr w:type="spellStart"/>
      <w:r w:rsidRPr="00FC3171">
        <w:rPr>
          <w:rFonts w:ascii="Times New Roman" w:hAnsi="Times New Roman"/>
          <w:sz w:val="36"/>
          <w:szCs w:val="36"/>
        </w:rPr>
        <w:t>nauczania</w:t>
      </w:r>
      <w:proofErr w:type="spellEnd"/>
      <w:r w:rsidRPr="00FC317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–“</w:t>
      </w:r>
      <w:proofErr w:type="spellStart"/>
      <w:r>
        <w:rPr>
          <w:rFonts w:ascii="Times New Roman" w:hAnsi="Times New Roman"/>
          <w:sz w:val="36"/>
          <w:szCs w:val="36"/>
        </w:rPr>
        <w:t>Spotkanie</w:t>
      </w:r>
      <w:proofErr w:type="spellEnd"/>
      <w:r>
        <w:rPr>
          <w:rFonts w:ascii="Times New Roman" w:hAnsi="Times New Roman"/>
          <w:sz w:val="36"/>
          <w:szCs w:val="36"/>
        </w:rPr>
        <w:t xml:space="preserve"> z </w:t>
      </w:r>
      <w:proofErr w:type="spellStart"/>
      <w:r>
        <w:rPr>
          <w:rFonts w:ascii="Times New Roman" w:hAnsi="Times New Roman"/>
          <w:sz w:val="36"/>
          <w:szCs w:val="36"/>
        </w:rPr>
        <w:t>fizyką</w:t>
      </w:r>
      <w:proofErr w:type="spellEnd"/>
      <w:r>
        <w:rPr>
          <w:rFonts w:ascii="Times New Roman" w:hAnsi="Times New Roman"/>
          <w:sz w:val="36"/>
          <w:szCs w:val="36"/>
        </w:rPr>
        <w:t>”</w:t>
      </w:r>
    </w:p>
    <w:p w:rsidR="00FC3171" w:rsidRPr="00FC3171" w:rsidRDefault="00FC3171" w:rsidP="00FC3171">
      <w:pPr>
        <w:pStyle w:val="Akapitzlist"/>
        <w:spacing w:after="120"/>
        <w:ind w:left="360"/>
        <w:rPr>
          <w:color w:val="FF3399"/>
          <w:sz w:val="20"/>
          <w:szCs w:val="20"/>
        </w:rPr>
      </w:pPr>
      <w:proofErr w:type="spellStart"/>
      <w:r w:rsidRPr="00FC3171">
        <w:rPr>
          <w:b/>
          <w:color w:val="FF3399"/>
          <w:sz w:val="20"/>
          <w:szCs w:val="20"/>
        </w:rPr>
        <w:t>na</w:t>
      </w:r>
      <w:proofErr w:type="spellEnd"/>
      <w:r w:rsidRPr="00FC3171">
        <w:rPr>
          <w:b/>
          <w:color w:val="FF3399"/>
          <w:sz w:val="20"/>
          <w:szCs w:val="20"/>
        </w:rPr>
        <w:t xml:space="preserve"> </w:t>
      </w:r>
      <w:proofErr w:type="spellStart"/>
      <w:r w:rsidRPr="00FC3171">
        <w:rPr>
          <w:b/>
          <w:color w:val="FF3399"/>
          <w:sz w:val="20"/>
          <w:szCs w:val="20"/>
        </w:rPr>
        <w:t>śródroczne</w:t>
      </w:r>
      <w:proofErr w:type="spellEnd"/>
      <w:r w:rsidRPr="00FC3171">
        <w:rPr>
          <w:b/>
          <w:color w:val="FF3399"/>
          <w:sz w:val="20"/>
          <w:szCs w:val="20"/>
        </w:rPr>
        <w:t xml:space="preserve"> </w:t>
      </w:r>
      <w:proofErr w:type="spellStart"/>
      <w:r w:rsidRPr="00FC3171">
        <w:rPr>
          <w:b/>
          <w:color w:val="FF3399"/>
          <w:sz w:val="20"/>
          <w:szCs w:val="20"/>
        </w:rPr>
        <w:t>poszczególne</w:t>
      </w:r>
      <w:proofErr w:type="spellEnd"/>
      <w:r w:rsidRPr="00FC3171">
        <w:rPr>
          <w:b/>
          <w:color w:val="FF3399"/>
          <w:sz w:val="20"/>
          <w:szCs w:val="20"/>
        </w:rPr>
        <w:t xml:space="preserve"> </w:t>
      </w:r>
      <w:proofErr w:type="spellStart"/>
      <w:r w:rsidRPr="00FC3171">
        <w:rPr>
          <w:b/>
          <w:color w:val="FF3399"/>
          <w:sz w:val="20"/>
          <w:szCs w:val="20"/>
        </w:rPr>
        <w:t>oceny</w:t>
      </w:r>
      <w:proofErr w:type="spellEnd"/>
      <w:r w:rsidRPr="00FC3171">
        <w:rPr>
          <w:b/>
          <w:color w:val="FF3399"/>
          <w:sz w:val="20"/>
          <w:szCs w:val="20"/>
        </w:rPr>
        <w:t xml:space="preserve"> ( I </w:t>
      </w:r>
      <w:proofErr w:type="spellStart"/>
      <w:r w:rsidRPr="00FC3171">
        <w:rPr>
          <w:b/>
          <w:color w:val="FF3399"/>
          <w:sz w:val="20"/>
          <w:szCs w:val="20"/>
        </w:rPr>
        <w:t>półrocze</w:t>
      </w:r>
      <w:proofErr w:type="spellEnd"/>
      <w:r w:rsidRPr="00FC3171">
        <w:rPr>
          <w:b/>
          <w:color w:val="FF3399"/>
          <w:sz w:val="20"/>
          <w:szCs w:val="20"/>
        </w:rPr>
        <w:t xml:space="preserve">) </w:t>
      </w:r>
    </w:p>
    <w:p w:rsidR="00FC3171" w:rsidRDefault="00FC3171" w:rsidP="00FC3171">
      <w:pPr>
        <w:pStyle w:val="rdtytuzkwadratemzielonym"/>
        <w:spacing w:after="85"/>
        <w:ind w:left="360" w:firstLine="0"/>
        <w:rPr>
          <w:color w:val="9B2424"/>
          <w:sz w:val="17"/>
          <w:szCs w:val="17"/>
        </w:rPr>
      </w:pPr>
    </w:p>
    <w:p w:rsidR="00FC3171" w:rsidRDefault="00FC3171" w:rsidP="00FC3171">
      <w:pPr>
        <w:pStyle w:val="rdtytuzkwadratemzielonym"/>
        <w:spacing w:after="85"/>
        <w:ind w:left="360" w:firstLine="0"/>
        <w:rPr>
          <w:color w:val="9B2424"/>
          <w:sz w:val="17"/>
          <w:szCs w:val="17"/>
        </w:rPr>
      </w:pPr>
      <w:r>
        <w:rPr>
          <w:color w:val="9B2424"/>
          <w:sz w:val="17"/>
          <w:szCs w:val="17"/>
        </w:rPr>
        <w:t>celujący:</w:t>
      </w:r>
    </w:p>
    <w:p w:rsidR="00FC3171" w:rsidRPr="00455172" w:rsidRDefault="00FC3171" w:rsidP="00FC3171">
      <w:pPr>
        <w:pStyle w:val="Lista0listy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Wymagania umo</w:t>
      </w:r>
      <w:r w:rsidRPr="00455172">
        <w:rPr>
          <w:rFonts w:ascii="Century Gothic" w:hAnsi="Century Gothic" w:cs="Cambria"/>
          <w:sz w:val="17"/>
          <w:szCs w:val="17"/>
        </w:rPr>
        <w:t>ż</w:t>
      </w:r>
      <w:r w:rsidRPr="00455172">
        <w:rPr>
          <w:rFonts w:ascii="Century Gothic" w:hAnsi="Century Gothic" w:cs="Times New Roman"/>
          <w:sz w:val="17"/>
          <w:szCs w:val="17"/>
        </w:rPr>
        <w:t>liwiaj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ce uzyskanie stopnia celuj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cego obejmuj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 xml:space="preserve"> wymagania na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stopie</w:t>
      </w:r>
      <w:r w:rsidRPr="00455172">
        <w:rPr>
          <w:rFonts w:ascii="Century Gothic" w:hAnsi="Century Gothic" w:cs="Cambria"/>
          <w:sz w:val="17"/>
          <w:szCs w:val="17"/>
        </w:rPr>
        <w:t>ń</w:t>
      </w:r>
      <w:r w:rsidRPr="00455172">
        <w:rPr>
          <w:rFonts w:ascii="Century Gothic" w:hAnsi="Century Gothic" w:cs="Times New Roman"/>
          <w:sz w:val="17"/>
          <w:szCs w:val="17"/>
        </w:rPr>
        <w:t xml:space="preserve"> bardzo dobry, a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ponadto wykraczaj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ce poza obowi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zuj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cy program nauczania (ucze</w:t>
      </w:r>
      <w:r w:rsidRPr="00455172">
        <w:rPr>
          <w:rFonts w:ascii="Century Gothic" w:hAnsi="Century Gothic" w:cs="Cambria"/>
          <w:sz w:val="17"/>
          <w:szCs w:val="17"/>
        </w:rPr>
        <w:t>ń</w:t>
      </w:r>
      <w:r w:rsidRPr="00455172">
        <w:rPr>
          <w:rFonts w:ascii="Century Gothic" w:hAnsi="Century Gothic" w:cs="Times New Roman"/>
          <w:sz w:val="17"/>
          <w:szCs w:val="17"/>
        </w:rPr>
        <w:t xml:space="preserve"> jest tw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rczy, rozwi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zuje zadania problemowe w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spos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b niekonwencjonalny, potrafi dokona</w:t>
      </w:r>
      <w:r w:rsidRPr="00455172">
        <w:rPr>
          <w:rFonts w:ascii="Century Gothic" w:hAnsi="Century Gothic" w:cs="Cambria"/>
          <w:sz w:val="17"/>
          <w:szCs w:val="17"/>
        </w:rPr>
        <w:t>ć</w:t>
      </w:r>
      <w:r w:rsidRPr="00455172">
        <w:rPr>
          <w:rFonts w:ascii="Century Gothic" w:hAnsi="Century Gothic" w:cs="Times New Roman"/>
          <w:sz w:val="17"/>
          <w:szCs w:val="17"/>
        </w:rPr>
        <w:t xml:space="preserve"> syntezy wiedzy i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na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tej podstawie sformu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owa</w:t>
      </w:r>
      <w:r w:rsidRPr="00455172">
        <w:rPr>
          <w:rFonts w:ascii="Century Gothic" w:hAnsi="Century Gothic" w:cs="Cambria"/>
          <w:sz w:val="17"/>
          <w:szCs w:val="17"/>
        </w:rPr>
        <w:t>ć</w:t>
      </w:r>
      <w:r w:rsidRPr="00455172">
        <w:rPr>
          <w:rFonts w:ascii="Century Gothic" w:hAnsi="Century Gothic" w:cs="Times New Roman"/>
          <w:sz w:val="17"/>
          <w:szCs w:val="17"/>
        </w:rPr>
        <w:t xml:space="preserve"> hipotezy badawcze i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zaproponowa</w:t>
      </w:r>
      <w:r w:rsidRPr="00455172">
        <w:rPr>
          <w:rFonts w:ascii="Century Gothic" w:hAnsi="Century Gothic" w:cs="Cambria"/>
          <w:sz w:val="17"/>
          <w:szCs w:val="17"/>
        </w:rPr>
        <w:t>ć</w:t>
      </w:r>
      <w:r w:rsidRPr="00455172">
        <w:rPr>
          <w:rFonts w:ascii="Century Gothic" w:hAnsi="Century Gothic" w:cs="Times New Roman"/>
          <w:sz w:val="17"/>
          <w:szCs w:val="17"/>
        </w:rPr>
        <w:t xml:space="preserve"> spos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b ich weryfikacji, samodzielnie prowadzi badania o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charakterze naukowym, z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w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asnej inicjatywy pog</w:t>
      </w:r>
      <w:r w:rsidRPr="00455172">
        <w:rPr>
          <w:rFonts w:ascii="Century Gothic" w:hAnsi="Century Gothic" w:cs="Cambria"/>
          <w:sz w:val="17"/>
          <w:szCs w:val="17"/>
        </w:rPr>
        <w:t>łę</w:t>
      </w:r>
      <w:r w:rsidRPr="00455172">
        <w:rPr>
          <w:rFonts w:ascii="Century Gothic" w:hAnsi="Century Gothic" w:cs="Times New Roman"/>
          <w:sz w:val="17"/>
          <w:szCs w:val="17"/>
        </w:rPr>
        <w:t>bia swoj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 xml:space="preserve"> wiedz</w:t>
      </w:r>
      <w:r w:rsidRPr="00455172">
        <w:rPr>
          <w:rFonts w:ascii="Century Gothic" w:hAnsi="Century Gothic" w:cs="Cambria"/>
          <w:sz w:val="17"/>
          <w:szCs w:val="17"/>
        </w:rPr>
        <w:t>ę</w:t>
      </w:r>
      <w:r w:rsidRPr="00455172">
        <w:rPr>
          <w:rFonts w:ascii="Century Gothic" w:hAnsi="Century Gothic" w:cs="Times New Roman"/>
          <w:sz w:val="17"/>
          <w:szCs w:val="17"/>
        </w:rPr>
        <w:t>, korzystaj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 z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r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Cambria"/>
          <w:sz w:val="17"/>
          <w:szCs w:val="17"/>
        </w:rPr>
        <w:t>ż</w:t>
      </w:r>
      <w:r w:rsidRPr="00455172">
        <w:rPr>
          <w:rFonts w:ascii="Century Gothic" w:hAnsi="Century Gothic" w:cs="Times New Roman"/>
          <w:sz w:val="17"/>
          <w:szCs w:val="17"/>
        </w:rPr>
        <w:t xml:space="preserve">nych </w:t>
      </w:r>
      <w:r w:rsidRPr="00455172">
        <w:rPr>
          <w:rFonts w:ascii="Century Gothic" w:hAnsi="Century Gothic" w:cs="Cambria"/>
          <w:sz w:val="17"/>
          <w:szCs w:val="17"/>
        </w:rPr>
        <w:t>ź</w:t>
      </w:r>
      <w:r w:rsidRPr="00455172">
        <w:rPr>
          <w:rFonts w:ascii="Century Gothic" w:hAnsi="Century Gothic" w:cs="Times New Roman"/>
          <w:sz w:val="17"/>
          <w:szCs w:val="17"/>
        </w:rPr>
        <w:t>r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de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, poszukuje zastosowa</w:t>
      </w:r>
      <w:r w:rsidRPr="00455172">
        <w:rPr>
          <w:rFonts w:ascii="Century Gothic" w:hAnsi="Century Gothic" w:cs="Cambria"/>
          <w:sz w:val="17"/>
          <w:szCs w:val="17"/>
        </w:rPr>
        <w:t>ń</w:t>
      </w:r>
      <w:r w:rsidRPr="00455172">
        <w:rPr>
          <w:rFonts w:ascii="Century Gothic" w:hAnsi="Century Gothic" w:cs="Times New Roman"/>
          <w:sz w:val="17"/>
          <w:szCs w:val="17"/>
        </w:rPr>
        <w:t xml:space="preserve"> wiedzy w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praktyce, dzieli si</w:t>
      </w:r>
      <w:r w:rsidRPr="00455172">
        <w:rPr>
          <w:rFonts w:ascii="Century Gothic" w:hAnsi="Century Gothic" w:cs="Cambria"/>
          <w:sz w:val="17"/>
          <w:szCs w:val="17"/>
        </w:rPr>
        <w:t>ę</w:t>
      </w:r>
      <w:r w:rsidRPr="00455172">
        <w:rPr>
          <w:rFonts w:ascii="Century Gothic" w:hAnsi="Century Gothic" w:cs="Times New Roman"/>
          <w:sz w:val="17"/>
          <w:szCs w:val="17"/>
        </w:rPr>
        <w:t xml:space="preserve"> swoj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 xml:space="preserve"> wiedz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 xml:space="preserve"> z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innymi uczniami, osi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ga sukcesy w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 xml:space="preserve">konkursach pozaszkolnych). </w:t>
      </w:r>
    </w:p>
    <w:p w:rsidR="00FC3171" w:rsidRPr="00455172" w:rsidRDefault="00FC3171" w:rsidP="00FC3171">
      <w:pPr>
        <w:pStyle w:val="tekstglowny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Wymagania ogólne – ucze</w:t>
      </w:r>
      <w:r w:rsidRPr="00455172">
        <w:rPr>
          <w:rFonts w:ascii="Century Gothic" w:hAnsi="Century Gothic" w:cs="Cambria"/>
          <w:sz w:val="17"/>
          <w:szCs w:val="17"/>
        </w:rPr>
        <w:t>ń</w:t>
      </w:r>
      <w:r w:rsidRPr="00455172">
        <w:rPr>
          <w:rFonts w:ascii="Century Gothic" w:hAnsi="Century Gothic" w:cs="Times New Roman"/>
          <w:sz w:val="17"/>
          <w:szCs w:val="17"/>
        </w:rPr>
        <w:t>:</w:t>
      </w:r>
    </w:p>
    <w:p w:rsidR="00FC3171" w:rsidRPr="00455172" w:rsidRDefault="00FC3171" w:rsidP="00FC3171">
      <w:pPr>
        <w:pStyle w:val="kropkalistalisty"/>
        <w:numPr>
          <w:ilvl w:val="0"/>
          <w:numId w:val="65"/>
        </w:numPr>
        <w:textAlignment w:val="auto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wykorzystuje poj</w:t>
      </w:r>
      <w:r w:rsidRPr="00455172">
        <w:rPr>
          <w:rFonts w:ascii="Century Gothic" w:hAnsi="Century Gothic" w:cs="Cambria"/>
          <w:sz w:val="17"/>
          <w:szCs w:val="17"/>
        </w:rPr>
        <w:t>ę</w:t>
      </w:r>
      <w:r w:rsidRPr="00455172">
        <w:rPr>
          <w:rFonts w:ascii="Century Gothic" w:hAnsi="Century Gothic" w:cs="Times New Roman"/>
          <w:sz w:val="17"/>
          <w:szCs w:val="17"/>
        </w:rPr>
        <w:t>cia i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wielko</w:t>
      </w:r>
      <w:r w:rsidRPr="00455172">
        <w:rPr>
          <w:rFonts w:ascii="Century Gothic" w:hAnsi="Century Gothic" w:cs="Cambria"/>
          <w:sz w:val="17"/>
          <w:szCs w:val="17"/>
        </w:rPr>
        <w:t>ś</w:t>
      </w:r>
      <w:r w:rsidRPr="00455172">
        <w:rPr>
          <w:rFonts w:ascii="Century Gothic" w:hAnsi="Century Gothic" w:cs="Times New Roman"/>
          <w:sz w:val="17"/>
          <w:szCs w:val="17"/>
        </w:rPr>
        <w:t>ci fizyczne do opisu zjawisk oraz wskazuje ich przyk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ady w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otaczaj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cej rzeczywisto</w:t>
      </w:r>
      <w:r w:rsidRPr="00455172">
        <w:rPr>
          <w:rFonts w:ascii="Century Gothic" w:hAnsi="Century Gothic" w:cs="Cambria"/>
          <w:sz w:val="17"/>
          <w:szCs w:val="17"/>
        </w:rPr>
        <w:t>ś</w:t>
      </w:r>
      <w:r w:rsidRPr="00455172">
        <w:rPr>
          <w:rFonts w:ascii="Century Gothic" w:hAnsi="Century Gothic" w:cs="Times New Roman"/>
          <w:sz w:val="17"/>
          <w:szCs w:val="17"/>
        </w:rPr>
        <w:t>ci,</w:t>
      </w:r>
    </w:p>
    <w:p w:rsidR="00FC3171" w:rsidRPr="00455172" w:rsidRDefault="00FC3171" w:rsidP="00FC3171">
      <w:pPr>
        <w:pStyle w:val="kropkalistalisty"/>
        <w:numPr>
          <w:ilvl w:val="0"/>
          <w:numId w:val="65"/>
        </w:numPr>
        <w:textAlignment w:val="auto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rozwi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zuje problemy z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wykorzystaniem praw i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zale</w:t>
      </w:r>
      <w:r w:rsidRPr="00455172">
        <w:rPr>
          <w:rFonts w:ascii="Century Gothic" w:hAnsi="Century Gothic" w:cs="Cambria"/>
          <w:sz w:val="17"/>
          <w:szCs w:val="17"/>
        </w:rPr>
        <w:t>ż</w:t>
      </w:r>
      <w:r w:rsidRPr="00455172">
        <w:rPr>
          <w:rFonts w:ascii="Century Gothic" w:hAnsi="Century Gothic" w:cs="Times New Roman"/>
          <w:sz w:val="17"/>
          <w:szCs w:val="17"/>
        </w:rPr>
        <w:t>no</w:t>
      </w:r>
      <w:r w:rsidRPr="00455172">
        <w:rPr>
          <w:rFonts w:ascii="Century Gothic" w:hAnsi="Century Gothic" w:cs="Cambria"/>
          <w:sz w:val="17"/>
          <w:szCs w:val="17"/>
        </w:rPr>
        <w:t>ś</w:t>
      </w:r>
      <w:r w:rsidRPr="00455172">
        <w:rPr>
          <w:rFonts w:ascii="Century Gothic" w:hAnsi="Century Gothic" w:cs="Times New Roman"/>
          <w:sz w:val="17"/>
          <w:szCs w:val="17"/>
        </w:rPr>
        <w:t>ci fizycznych,</w:t>
      </w:r>
    </w:p>
    <w:p w:rsidR="00FC3171" w:rsidRPr="00455172" w:rsidRDefault="00FC3171" w:rsidP="00FC3171">
      <w:pPr>
        <w:pStyle w:val="kropkalistalisty"/>
        <w:numPr>
          <w:ilvl w:val="0"/>
          <w:numId w:val="65"/>
        </w:numPr>
        <w:textAlignment w:val="auto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planuje i przeprowadza obserwacje lub do</w:t>
      </w:r>
      <w:r w:rsidRPr="00455172">
        <w:rPr>
          <w:rFonts w:ascii="Century Gothic" w:hAnsi="Century Gothic" w:cs="Cambria"/>
          <w:sz w:val="17"/>
          <w:szCs w:val="17"/>
        </w:rPr>
        <w:t>ś</w:t>
      </w:r>
      <w:r w:rsidRPr="00455172">
        <w:rPr>
          <w:rFonts w:ascii="Century Gothic" w:hAnsi="Century Gothic" w:cs="Times New Roman"/>
          <w:sz w:val="17"/>
          <w:szCs w:val="17"/>
        </w:rPr>
        <w:t>wiadczenia oraz wnioskuje na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podstawie ich wynik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w,</w:t>
      </w:r>
    </w:p>
    <w:p w:rsidR="00FC3171" w:rsidRPr="00455172" w:rsidRDefault="00FC3171" w:rsidP="00FC3171">
      <w:pPr>
        <w:pStyle w:val="kropkalistalisty"/>
        <w:numPr>
          <w:ilvl w:val="0"/>
          <w:numId w:val="65"/>
        </w:numPr>
        <w:textAlignment w:val="auto"/>
        <w:rPr>
          <w:rFonts w:ascii="Century Gothic" w:hAnsi="Century Gothic" w:cs="Times New Roman"/>
          <w:sz w:val="17"/>
          <w:szCs w:val="17"/>
        </w:rPr>
      </w:pPr>
      <w:r w:rsidRPr="00455172">
        <w:rPr>
          <w:rFonts w:ascii="Century Gothic" w:hAnsi="Century Gothic" w:cs="Times New Roman"/>
          <w:sz w:val="17"/>
          <w:szCs w:val="17"/>
        </w:rPr>
        <w:t>pos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uguje si</w:t>
      </w:r>
      <w:r w:rsidRPr="00455172">
        <w:rPr>
          <w:rFonts w:ascii="Century Gothic" w:hAnsi="Century Gothic" w:cs="Cambria"/>
          <w:sz w:val="17"/>
          <w:szCs w:val="17"/>
        </w:rPr>
        <w:t>ę</w:t>
      </w:r>
      <w:r w:rsidRPr="00455172">
        <w:rPr>
          <w:rFonts w:ascii="Century Gothic" w:hAnsi="Century Gothic" w:cs="Times New Roman"/>
          <w:sz w:val="17"/>
          <w:szCs w:val="17"/>
        </w:rPr>
        <w:t xml:space="preserve"> informacjami pochodz</w:t>
      </w:r>
      <w:r w:rsidRPr="00455172">
        <w:rPr>
          <w:rFonts w:ascii="Century Gothic" w:hAnsi="Century Gothic" w:cs="Cambria"/>
          <w:sz w:val="17"/>
          <w:szCs w:val="17"/>
        </w:rPr>
        <w:t>ą</w:t>
      </w:r>
      <w:r w:rsidRPr="00455172">
        <w:rPr>
          <w:rFonts w:ascii="Century Gothic" w:hAnsi="Century Gothic" w:cs="Times New Roman"/>
          <w:sz w:val="17"/>
          <w:szCs w:val="17"/>
        </w:rPr>
        <w:t>cymi z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analizy materia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 xml:space="preserve">w </w:t>
      </w:r>
      <w:r w:rsidRPr="00455172">
        <w:rPr>
          <w:rFonts w:ascii="Century Gothic" w:hAnsi="Century Gothic" w:cs="Cambria"/>
          <w:sz w:val="17"/>
          <w:szCs w:val="17"/>
        </w:rPr>
        <w:t>ź</w:t>
      </w:r>
      <w:r w:rsidRPr="00455172">
        <w:rPr>
          <w:rFonts w:ascii="Century Gothic" w:hAnsi="Century Gothic" w:cs="Times New Roman"/>
          <w:sz w:val="17"/>
          <w:szCs w:val="17"/>
        </w:rPr>
        <w:t>r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d</w:t>
      </w:r>
      <w:r w:rsidRPr="00455172">
        <w:rPr>
          <w:rFonts w:ascii="Century Gothic" w:hAnsi="Century Gothic" w:cs="Cambria"/>
          <w:sz w:val="17"/>
          <w:szCs w:val="17"/>
        </w:rPr>
        <w:t>ł</w:t>
      </w:r>
      <w:r w:rsidRPr="00455172">
        <w:rPr>
          <w:rFonts w:ascii="Century Gothic" w:hAnsi="Century Gothic" w:cs="Times New Roman"/>
          <w:sz w:val="17"/>
          <w:szCs w:val="17"/>
        </w:rPr>
        <w:t>owych, w</w:t>
      </w:r>
      <w:r w:rsidRPr="00455172">
        <w:rPr>
          <w:rFonts w:ascii="Century Gothic" w:hAnsi="Century Gothic" w:cs="Centaur"/>
          <w:sz w:val="17"/>
          <w:szCs w:val="17"/>
        </w:rPr>
        <w:t> </w:t>
      </w:r>
      <w:r w:rsidRPr="00455172">
        <w:rPr>
          <w:rFonts w:ascii="Century Gothic" w:hAnsi="Century Gothic" w:cs="Times New Roman"/>
          <w:sz w:val="17"/>
          <w:szCs w:val="17"/>
        </w:rPr>
        <w:t>tym tekst</w:t>
      </w:r>
      <w:r w:rsidRPr="00455172">
        <w:rPr>
          <w:rFonts w:ascii="Century Gothic" w:hAnsi="Century Gothic" w:cs="Centaur"/>
          <w:sz w:val="17"/>
          <w:szCs w:val="17"/>
        </w:rPr>
        <w:t>ó</w:t>
      </w:r>
      <w:r w:rsidRPr="00455172">
        <w:rPr>
          <w:rFonts w:ascii="Century Gothic" w:hAnsi="Century Gothic" w:cs="Times New Roman"/>
          <w:sz w:val="17"/>
          <w:szCs w:val="17"/>
        </w:rPr>
        <w:t>w popularnonaukowych.</w:t>
      </w:r>
    </w:p>
    <w:p w:rsidR="00FC3171" w:rsidRPr="00C127F1" w:rsidRDefault="00FC3171" w:rsidP="00FC3171">
      <w:pPr>
        <w:pStyle w:val="rdtytuzkwadratemzielonym"/>
        <w:spacing w:after="85"/>
        <w:ind w:left="360" w:firstLine="0"/>
      </w:pP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FC3171" w:rsidTr="008967DC">
        <w:trPr>
          <w:trHeight w:val="758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71" w:rsidRDefault="00FC3171">
            <w:pPr>
              <w:pStyle w:val="tabelaglowatabela"/>
            </w:pPr>
            <w:r>
              <w:lastRenderedPageBreak/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71" w:rsidRDefault="00FC3171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71" w:rsidRDefault="00FC3171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71" w:rsidRDefault="00FC3171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wykazuje na przykładach, że oddziaływania są </w:t>
            </w:r>
            <w:r w:rsidRPr="00C127F1">
              <w:lastRenderedPageBreak/>
              <w:t>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buduje prosty siłomierz i wyznacza przy </w:t>
            </w:r>
            <w:r w:rsidRPr="00C127F1">
              <w:lastRenderedPageBreak/>
              <w:t>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wyjaśnia napięcie powierzchniowe jako skutek </w:t>
            </w:r>
            <w:r w:rsidRPr="00C127F1">
              <w:lastRenderedPageBreak/>
              <w:t>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lastRenderedPageBreak/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</w:t>
            </w:r>
            <w:r w:rsidRPr="00C127F1">
              <w:lastRenderedPageBreak/>
              <w:t xml:space="preserve">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lastRenderedPageBreak/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</w:t>
            </w:r>
            <w:r w:rsidRPr="00C127F1">
              <w:lastRenderedPageBreak/>
              <w:t xml:space="preserve">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</w:t>
            </w:r>
            <w:r w:rsidRPr="00C127F1">
              <w:lastRenderedPageBreak/>
              <w:t xml:space="preserve">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lastRenderedPageBreak/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rozpoznaje na podstawie danych liczbowych </w:t>
            </w:r>
            <w:r w:rsidRPr="00C127F1">
              <w:lastRenderedPageBreak/>
              <w:t>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B4309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B43098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</w:t>
            </w:r>
            <w:r w:rsidRPr="0011106B">
              <w:lastRenderedPageBreak/>
              <w:t>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 xml:space="preserve">podstawie </w:t>
            </w:r>
            <w:r w:rsidRPr="0011106B">
              <w:lastRenderedPageBreak/>
              <w:t>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43098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B43098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4309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43098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B4309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43098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B4309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43098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lastRenderedPageBreak/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w:lastRenderedPageBreak/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C3171" w:rsidRDefault="00FC3171" w:rsidP="00791A66">
            <w:pPr>
              <w:pStyle w:val="tabeladzialtabela"/>
              <w:rPr>
                <w:b/>
              </w:rPr>
            </w:pPr>
          </w:p>
          <w:p w:rsidR="00FC3171" w:rsidRDefault="00FC3171" w:rsidP="00791A66">
            <w:pPr>
              <w:pStyle w:val="tabeladzialtabela"/>
              <w:rPr>
                <w:b/>
              </w:rPr>
            </w:pPr>
          </w:p>
          <w:p w:rsidR="00FC3171" w:rsidRPr="00455172" w:rsidRDefault="00FC3171" w:rsidP="00FC3171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55172">
              <w:rPr>
                <w:rFonts w:ascii="Times New Roman" w:hAnsi="Times New Roman"/>
                <w:sz w:val="36"/>
                <w:szCs w:val="36"/>
              </w:rPr>
              <w:t>Wymagania</w:t>
            </w:r>
            <w:proofErr w:type="spellEnd"/>
            <w:r w:rsidRPr="0045517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455172">
              <w:rPr>
                <w:rFonts w:ascii="Times New Roman" w:hAnsi="Times New Roman"/>
                <w:sz w:val="36"/>
                <w:szCs w:val="36"/>
              </w:rPr>
              <w:t>edukacyjne</w:t>
            </w:r>
            <w:proofErr w:type="spellEnd"/>
            <w:r w:rsidRPr="0045517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455172">
              <w:rPr>
                <w:rFonts w:ascii="Times New Roman" w:hAnsi="Times New Roman"/>
                <w:sz w:val="36"/>
                <w:szCs w:val="36"/>
              </w:rPr>
              <w:t>na</w:t>
            </w:r>
            <w:proofErr w:type="spellEnd"/>
            <w:r w:rsidRPr="0045517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455172">
              <w:rPr>
                <w:rFonts w:ascii="Times New Roman" w:hAnsi="Times New Roman"/>
                <w:sz w:val="36"/>
                <w:szCs w:val="36"/>
              </w:rPr>
              <w:t>poszczególne</w:t>
            </w:r>
            <w:proofErr w:type="spellEnd"/>
            <w:r w:rsidRPr="0045517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455172">
              <w:rPr>
                <w:rFonts w:ascii="Times New Roman" w:hAnsi="Times New Roman"/>
                <w:sz w:val="36"/>
                <w:szCs w:val="36"/>
              </w:rPr>
              <w:t>oceny</w:t>
            </w:r>
            <w:proofErr w:type="spellEnd"/>
          </w:p>
          <w:p w:rsidR="00FC3171" w:rsidRDefault="00FC3171" w:rsidP="00FC3171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nauczania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–„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Spotkanie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z fizyką</w:t>
            </w:r>
            <w:r w:rsidRPr="00455172">
              <w:rPr>
                <w:rFonts w:ascii="Times New Roman" w:hAnsi="Times New Roman"/>
                <w:sz w:val="36"/>
                <w:szCs w:val="36"/>
              </w:rPr>
              <w:t>”</w:t>
            </w:r>
          </w:p>
          <w:p w:rsidR="00FC3171" w:rsidRPr="008F7693" w:rsidRDefault="00FC3171" w:rsidP="00FC3171">
            <w:pPr>
              <w:spacing w:after="120"/>
              <w:rPr>
                <w:color w:val="FF3399"/>
                <w:sz w:val="20"/>
                <w:szCs w:val="20"/>
              </w:rPr>
            </w:pPr>
            <w:proofErr w:type="spellStart"/>
            <w:r>
              <w:rPr>
                <w:b/>
                <w:color w:val="FF3399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FF33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3399"/>
                <w:sz w:val="20"/>
                <w:szCs w:val="20"/>
              </w:rPr>
              <w:t>końcoworoczne</w:t>
            </w:r>
            <w:proofErr w:type="spellEnd"/>
            <w:r>
              <w:rPr>
                <w:b/>
                <w:color w:val="FF33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3399"/>
                <w:sz w:val="20"/>
                <w:szCs w:val="20"/>
              </w:rPr>
              <w:t>poszczególne</w:t>
            </w:r>
            <w:proofErr w:type="spellEnd"/>
            <w:r>
              <w:rPr>
                <w:b/>
                <w:color w:val="FF33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3399"/>
                <w:sz w:val="20"/>
                <w:szCs w:val="20"/>
              </w:rPr>
              <w:t>oceny</w:t>
            </w:r>
            <w:proofErr w:type="spellEnd"/>
            <w:r>
              <w:rPr>
                <w:b/>
                <w:color w:val="FF3399"/>
                <w:sz w:val="20"/>
                <w:szCs w:val="20"/>
              </w:rPr>
              <w:t xml:space="preserve"> ( II </w:t>
            </w:r>
            <w:proofErr w:type="spellStart"/>
            <w:r>
              <w:rPr>
                <w:b/>
                <w:color w:val="FF3399"/>
                <w:sz w:val="20"/>
                <w:szCs w:val="20"/>
              </w:rPr>
              <w:t>półrocze</w:t>
            </w:r>
            <w:proofErr w:type="spellEnd"/>
            <w:r>
              <w:rPr>
                <w:b/>
                <w:color w:val="FF3399"/>
                <w:sz w:val="20"/>
                <w:szCs w:val="20"/>
              </w:rPr>
              <w:t xml:space="preserve">) </w:t>
            </w:r>
          </w:p>
          <w:p w:rsidR="00FC3171" w:rsidRDefault="00FC3171" w:rsidP="00791A66">
            <w:pPr>
              <w:pStyle w:val="tabeladzialtabela"/>
              <w:rPr>
                <w:b/>
              </w:rPr>
            </w:pPr>
          </w:p>
          <w:p w:rsidR="00FC3171" w:rsidRDefault="00FC3171" w:rsidP="00791A66">
            <w:pPr>
              <w:pStyle w:val="tabeladzialtabela"/>
              <w:rPr>
                <w:b/>
              </w:rPr>
            </w:pPr>
          </w:p>
          <w:p w:rsidR="00FC3171" w:rsidRDefault="00FC3171" w:rsidP="00791A66">
            <w:pPr>
              <w:pStyle w:val="tabeladzialtabela"/>
              <w:rPr>
                <w:b/>
              </w:rPr>
            </w:pPr>
          </w:p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lastRenderedPageBreak/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B4309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B43098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B43098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energii, podaje </w:t>
            </w:r>
            <w:r w:rsidRPr="00C127F1">
              <w:lastRenderedPageBreak/>
              <w:t>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lastRenderedPageBreak/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pracy mechanicznej </w:t>
            </w:r>
            <w:r w:rsidRPr="00C127F1">
              <w:lastRenderedPageBreak/>
              <w:t>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B4309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B4309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 kiedy, mimo działającej na ciało </w:t>
            </w:r>
            <w:r w:rsidRPr="00C127F1">
              <w:lastRenderedPageBreak/>
              <w:t>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B4309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B4309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wykazuje, że praca wykonana podczas </w:t>
            </w:r>
            <w:r w:rsidRPr="00C127F1">
              <w:lastRenderedPageBreak/>
              <w:t>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doświadczalnie demonstruje zjawisko </w:t>
            </w:r>
            <w:r w:rsidRPr="00C127F1">
              <w:lastRenderedPageBreak/>
              <w:t>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lastRenderedPageBreak/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</w:t>
            </w:r>
            <w:r w:rsidR="00512715">
              <w:lastRenderedPageBreak/>
              <w:t>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B43098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B43098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lastRenderedPageBreak/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</w:t>
            </w:r>
            <w:r w:rsidRPr="00C127F1">
              <w:lastRenderedPageBreak/>
              <w:t xml:space="preserve">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B4309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43098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B4309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43098" w:rsidRPr="00547B85">
              <w:fldChar w:fldCharType="end"/>
            </w:r>
            <w:r w:rsidRPr="00C127F1">
              <w:t xml:space="preserve">, zależności </w:t>
            </w:r>
            <w:r w:rsidR="00B4309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43098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B43098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</w:t>
            </w:r>
            <w:r w:rsidRPr="00C127F1">
              <w:lastRenderedPageBreak/>
              <w:t xml:space="preserve">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posługuje się pojęciem ciepła parowania </w:t>
            </w:r>
            <w:r w:rsidRPr="00C127F1">
              <w:lastRenderedPageBreak/>
              <w:t>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lastRenderedPageBreak/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A1" w:rsidRDefault="001F17A1" w:rsidP="00BD0596">
      <w:r>
        <w:separator/>
      </w:r>
    </w:p>
  </w:endnote>
  <w:endnote w:type="continuationSeparator" w:id="0">
    <w:p w:rsidR="001F17A1" w:rsidRDefault="001F17A1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A1" w:rsidRDefault="001F17A1" w:rsidP="00BD0596">
      <w:r>
        <w:separator/>
      </w:r>
    </w:p>
  </w:footnote>
  <w:footnote w:type="continuationSeparator" w:id="0">
    <w:p w:rsidR="001F17A1" w:rsidRDefault="001F17A1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4309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B43098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FC3171" w:rsidRPr="00FC3171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12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oceniania</w:t>
                </w:r>
                <w:proofErr w:type="spellEnd"/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 w:numId="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122AB9"/>
    <w:rsid w:val="001F17A1"/>
    <w:rsid w:val="00272901"/>
    <w:rsid w:val="002B11B2"/>
    <w:rsid w:val="00365356"/>
    <w:rsid w:val="00372F93"/>
    <w:rsid w:val="003949A2"/>
    <w:rsid w:val="00512715"/>
    <w:rsid w:val="005222FB"/>
    <w:rsid w:val="00556787"/>
    <w:rsid w:val="005C0F60"/>
    <w:rsid w:val="005C330A"/>
    <w:rsid w:val="005E72D7"/>
    <w:rsid w:val="0060697A"/>
    <w:rsid w:val="006233D8"/>
    <w:rsid w:val="00760232"/>
    <w:rsid w:val="00791A66"/>
    <w:rsid w:val="00885CAA"/>
    <w:rsid w:val="00902585"/>
    <w:rsid w:val="009027AB"/>
    <w:rsid w:val="00913A52"/>
    <w:rsid w:val="00990B1B"/>
    <w:rsid w:val="009C60D0"/>
    <w:rsid w:val="00A65C11"/>
    <w:rsid w:val="00A948B5"/>
    <w:rsid w:val="00AA4615"/>
    <w:rsid w:val="00AF6613"/>
    <w:rsid w:val="00B374D0"/>
    <w:rsid w:val="00B43098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9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430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B4309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B4309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B4309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B4309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B43098"/>
    <w:pPr>
      <w:jc w:val="center"/>
    </w:pPr>
  </w:style>
  <w:style w:type="character" w:customStyle="1" w:styleId="dzial-B">
    <w:name w:val="dzial-B"/>
    <w:uiPriority w:val="99"/>
    <w:rsid w:val="00B43098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  <w:style w:type="paragraph" w:styleId="Akapitzlist">
    <w:name w:val="List Paragraph"/>
    <w:basedOn w:val="Normalny"/>
    <w:uiPriority w:val="34"/>
    <w:qFormat/>
    <w:rsid w:val="00FC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F14-810F-490C-AFEE-01C99CE7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7357</Words>
  <Characters>44144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</cp:revision>
  <dcterms:created xsi:type="dcterms:W3CDTF">2023-09-18T14:06:00Z</dcterms:created>
  <dcterms:modified xsi:type="dcterms:W3CDTF">2023-09-18T14:06:00Z</dcterms:modified>
</cp:coreProperties>
</file>